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2026/52-6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Verhandlungsverfahren mit öffentlichem Teilnahmewettbewerb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Weiterentwicklung und Ausarbeitung eines im Rahmen einer Mehrfachbeauftragung erarbeiteten Entwurfs für zwei Teilgebiete der Stadtgrabenpromenade in Lingen (Ems)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Für die o.g. Maßnahme sollen die Planungsleistungen der Freianlagenplanung gemäß §§ 38 ff. HOAI im
Verhandlungsverfahren mit Teilnahmewettbewerb nach § 17 VgV vergeben werden.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